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F1482">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6" w:lineRule="exact"/>
        <w:textAlignment w:val="auto"/>
        <w:rPr>
          <w:rFonts w:hint="default" w:ascii="黑体" w:hAnsi="黑体" w:eastAsia="黑体" w:cs="黑体"/>
          <w:b w:val="0"/>
          <w:bCs/>
          <w:i w:val="0"/>
          <w:iCs w:val="0"/>
          <w:caps w:val="0"/>
          <w:color w:val="000000"/>
          <w:spacing w:val="0"/>
          <w:sz w:val="32"/>
          <w:szCs w:val="32"/>
          <w:lang w:val="en-US" w:eastAsia="zh-CN"/>
        </w:rPr>
      </w:pPr>
      <w:r>
        <w:rPr>
          <w:rStyle w:val="11"/>
          <w:rFonts w:hint="eastAsia" w:ascii="黑体" w:hAnsi="黑体" w:eastAsia="黑体" w:cs="黑体"/>
          <w:b w:val="0"/>
          <w:bCs/>
          <w:i w:val="0"/>
          <w:iCs w:val="0"/>
          <w:caps w:val="0"/>
          <w:color w:val="000000"/>
          <w:spacing w:val="0"/>
          <w:sz w:val="32"/>
          <w:szCs w:val="32"/>
          <w:shd w:val="clear" w:fill="FFFFFF"/>
        </w:rPr>
        <w:t>附件</w:t>
      </w:r>
      <w:r>
        <w:rPr>
          <w:rStyle w:val="11"/>
          <w:rFonts w:hint="eastAsia" w:ascii="黑体" w:hAnsi="黑体" w:eastAsia="黑体" w:cs="黑体"/>
          <w:b w:val="0"/>
          <w:bCs/>
          <w:i w:val="0"/>
          <w:iCs w:val="0"/>
          <w:caps w:val="0"/>
          <w:color w:val="000000"/>
          <w:spacing w:val="0"/>
          <w:sz w:val="32"/>
          <w:szCs w:val="32"/>
          <w:shd w:val="clear" w:fill="FFFFFF"/>
          <w:lang w:val="en-US" w:eastAsia="zh-CN"/>
        </w:rPr>
        <w:t>1</w:t>
      </w:r>
    </w:p>
    <w:p w14:paraId="363A634A">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6" w:lineRule="exact"/>
        <w:ind w:left="0" w:firstLine="0"/>
        <w:jc w:val="center"/>
        <w:textAlignment w:val="auto"/>
        <w:rPr>
          <w:rFonts w:hint="default" w:ascii="����" w:hAnsi="����" w:eastAsia="����" w:cs="����"/>
          <w:i w:val="0"/>
          <w:iCs w:val="0"/>
          <w:caps w:val="0"/>
          <w:color w:val="000000"/>
          <w:spacing w:val="0"/>
          <w:sz w:val="32"/>
          <w:szCs w:val="32"/>
        </w:rPr>
      </w:pPr>
      <w:r>
        <w:rPr>
          <w:rStyle w:val="11"/>
          <w:rFonts w:hint="eastAsia" w:ascii="宋体" w:hAnsi="宋体" w:eastAsia="宋体" w:cs="宋体"/>
          <w:b/>
          <w:bCs w:val="0"/>
          <w:i w:val="0"/>
          <w:iCs w:val="0"/>
          <w:caps w:val="0"/>
          <w:color w:val="000000"/>
          <w:spacing w:val="0"/>
          <w:sz w:val="52"/>
          <w:szCs w:val="52"/>
          <w:shd w:val="clear" w:fill="FFFFFF"/>
        </w:rPr>
        <w:t>采购需求</w:t>
      </w:r>
      <w:r>
        <w:rPr>
          <w:rStyle w:val="11"/>
          <w:rFonts w:hint="eastAsia" w:ascii="仿宋" w:hAnsi="仿宋" w:eastAsia="仿宋" w:cs="仿宋"/>
          <w:i w:val="0"/>
          <w:iCs w:val="0"/>
          <w:caps w:val="0"/>
          <w:color w:val="000000"/>
          <w:spacing w:val="0"/>
          <w:sz w:val="32"/>
          <w:szCs w:val="32"/>
          <w:shd w:val="clear" w:fill="FFFFFF"/>
        </w:rPr>
        <w:t> </w:t>
      </w:r>
    </w:p>
    <w:p w14:paraId="133E33D3">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textAlignment w:val="auto"/>
        <w:rPr>
          <w:rFonts w:hint="eastAsia" w:ascii="仿宋" w:hAnsi="仿宋" w:eastAsia="仿宋" w:cs="仿宋"/>
          <w:i w:val="0"/>
          <w:iCs w:val="0"/>
          <w:caps w:val="0"/>
          <w:color w:val="000000"/>
          <w:spacing w:val="0"/>
          <w:sz w:val="32"/>
          <w:szCs w:val="32"/>
          <w:shd w:val="clear" w:fill="FFFFFF"/>
          <w:lang w:val="en-US" w:eastAsia="zh-CN"/>
        </w:rPr>
      </w:pPr>
    </w:p>
    <w:p w14:paraId="561CFBE5">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一、项目背景</w:t>
      </w:r>
    </w:p>
    <w:p w14:paraId="226CCC85">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default"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为了确保医院移动支付中心能够与省级医保移动支付中心实现有效对接，需要对医院当前运营的微信公众号进行全面的升级与功能扩展。此举措旨在通过技术手段，提升医疗服务效率，优化患者支付体验，并确保支付流程符合省级医保系统的规范与要求。</w:t>
      </w:r>
    </w:p>
    <w:p w14:paraId="4A0F6304">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二、需求</w:t>
      </w:r>
    </w:p>
    <w:p w14:paraId="5502C83E">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采用定制开发策略，确保在本院现有的微信公众号平台上，成功实现以下各项功能模块的开发与部署。</w:t>
      </w:r>
    </w:p>
    <w:tbl>
      <w:tblPr>
        <w:tblStyle w:val="8"/>
        <w:tblW w:w="5000" w:type="pct"/>
        <w:jc w:val="center"/>
        <w:tblLayout w:type="autofit"/>
        <w:tblCellMar>
          <w:top w:w="0" w:type="dxa"/>
          <w:left w:w="108" w:type="dxa"/>
          <w:bottom w:w="0" w:type="dxa"/>
          <w:right w:w="108" w:type="dxa"/>
        </w:tblCellMar>
      </w:tblPr>
      <w:tblGrid>
        <w:gridCol w:w="1030"/>
        <w:gridCol w:w="1307"/>
        <w:gridCol w:w="1430"/>
        <w:gridCol w:w="1893"/>
        <w:gridCol w:w="3401"/>
      </w:tblGrid>
      <w:tr w14:paraId="075A4715">
        <w:tblPrEx>
          <w:tblCellMar>
            <w:top w:w="0" w:type="dxa"/>
            <w:left w:w="108" w:type="dxa"/>
            <w:bottom w:w="0" w:type="dxa"/>
            <w:right w:w="108" w:type="dxa"/>
          </w:tblCellMar>
        </w:tblPrEx>
        <w:trPr>
          <w:trHeight w:val="701" w:hRule="atLeast"/>
          <w:tblHeader/>
          <w:jc w:val="center"/>
        </w:trPr>
        <w:tc>
          <w:tcPr>
            <w:tcW w:w="1030" w:type="dxa"/>
            <w:tcBorders>
              <w:top w:val="single" w:color="000000" w:sz="4" w:space="0"/>
              <w:left w:val="single" w:color="000000" w:sz="4" w:space="0"/>
              <w:bottom w:val="single" w:color="000000" w:sz="4" w:space="0"/>
              <w:right w:val="single" w:color="000000" w:sz="4" w:space="0"/>
              <w:tl2br w:val="nil"/>
            </w:tcBorders>
            <w:shd w:val="clear" w:color="000000" w:fill="FFFFFF"/>
            <w:noWrap w:val="0"/>
            <w:vAlign w:val="center"/>
          </w:tcPr>
          <w:p w14:paraId="77052791">
            <w:pPr>
              <w:widowControl/>
              <w:jc w:val="center"/>
              <w:rPr>
                <w:rFonts w:hint="eastAsia" w:ascii="黑体" w:hAnsi="黑体" w:eastAsia="黑体" w:cs="黑体"/>
                <w:b w:val="0"/>
                <w:bCs/>
                <w:color w:val="000000"/>
                <w:kern w:val="0"/>
                <w:sz w:val="24"/>
                <w:szCs w:val="24"/>
              </w:rPr>
            </w:pPr>
            <w:r>
              <w:rPr>
                <w:rFonts w:hint="eastAsia" w:ascii="黑体" w:hAnsi="黑体" w:eastAsia="黑体" w:cs="黑体"/>
                <w:b w:val="0"/>
                <w:bCs/>
                <w:color w:val="000000"/>
                <w:kern w:val="0"/>
                <w:sz w:val="24"/>
                <w:szCs w:val="24"/>
              </w:rPr>
              <w:t>序号</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noWrap w:val="0"/>
            <w:vAlign w:val="center"/>
          </w:tcPr>
          <w:p w14:paraId="042F891F">
            <w:pPr>
              <w:widowControl/>
              <w:jc w:val="center"/>
              <w:rPr>
                <w:rFonts w:hint="eastAsia" w:ascii="黑体" w:hAnsi="黑体" w:eastAsia="黑体" w:cs="黑体"/>
                <w:b w:val="0"/>
                <w:bCs/>
                <w:color w:val="000000"/>
                <w:kern w:val="0"/>
                <w:sz w:val="24"/>
                <w:szCs w:val="24"/>
              </w:rPr>
            </w:pPr>
            <w:r>
              <w:rPr>
                <w:rFonts w:hint="eastAsia" w:ascii="黑体" w:hAnsi="黑体" w:eastAsia="黑体" w:cs="黑体"/>
                <w:b w:val="0"/>
                <w:bCs/>
                <w:color w:val="000000"/>
                <w:kern w:val="0"/>
                <w:sz w:val="24"/>
                <w:szCs w:val="24"/>
              </w:rPr>
              <w:t>系统名称</w:t>
            </w:r>
          </w:p>
        </w:tc>
        <w:tc>
          <w:tcPr>
            <w:tcW w:w="1430" w:type="dxa"/>
            <w:tcBorders>
              <w:top w:val="single" w:color="000000" w:sz="4" w:space="0"/>
              <w:left w:val="single" w:color="000000" w:sz="4" w:space="0"/>
              <w:bottom w:val="single" w:color="000000" w:sz="4" w:space="0"/>
              <w:right w:val="single" w:color="000000" w:sz="4" w:space="0"/>
            </w:tcBorders>
            <w:shd w:val="clear" w:color="000000" w:fill="FFFFFF"/>
            <w:noWrap w:val="0"/>
            <w:vAlign w:val="center"/>
          </w:tcPr>
          <w:p w14:paraId="0F5E5123">
            <w:pPr>
              <w:widowControl/>
              <w:jc w:val="center"/>
              <w:rPr>
                <w:rFonts w:hint="eastAsia" w:ascii="黑体" w:hAnsi="黑体" w:eastAsia="黑体" w:cs="黑体"/>
                <w:b w:val="0"/>
                <w:bCs/>
                <w:color w:val="000000"/>
                <w:kern w:val="0"/>
                <w:sz w:val="24"/>
                <w:szCs w:val="24"/>
              </w:rPr>
            </w:pPr>
            <w:r>
              <w:rPr>
                <w:rFonts w:hint="eastAsia" w:ascii="黑体" w:hAnsi="黑体" w:eastAsia="黑体" w:cs="黑体"/>
                <w:b w:val="0"/>
                <w:bCs/>
                <w:color w:val="000000"/>
                <w:kern w:val="0"/>
                <w:sz w:val="24"/>
                <w:szCs w:val="24"/>
              </w:rPr>
              <w:t>模块</w:t>
            </w:r>
          </w:p>
        </w:tc>
        <w:tc>
          <w:tcPr>
            <w:tcW w:w="5294" w:type="dxa"/>
            <w:gridSpan w:val="2"/>
            <w:tcBorders>
              <w:top w:val="single" w:color="000000" w:sz="4" w:space="0"/>
              <w:left w:val="single" w:color="000000" w:sz="4" w:space="0"/>
              <w:bottom w:val="single" w:color="000000" w:sz="4" w:space="0"/>
              <w:right w:val="single" w:color="000000" w:sz="4" w:space="0"/>
            </w:tcBorders>
            <w:shd w:val="clear" w:color="000000" w:fill="FFFFFF"/>
            <w:noWrap w:val="0"/>
            <w:vAlign w:val="center"/>
          </w:tcPr>
          <w:p w14:paraId="36C873C0">
            <w:pPr>
              <w:widowControl/>
              <w:jc w:val="center"/>
              <w:rPr>
                <w:rFonts w:hint="eastAsia" w:ascii="黑体" w:hAnsi="黑体" w:eastAsia="黑体" w:cs="黑体"/>
                <w:b w:val="0"/>
                <w:bCs/>
                <w:color w:val="000000"/>
                <w:kern w:val="0"/>
                <w:sz w:val="24"/>
                <w:szCs w:val="24"/>
              </w:rPr>
            </w:pPr>
            <w:r>
              <w:rPr>
                <w:rFonts w:hint="eastAsia" w:ascii="黑体" w:hAnsi="黑体" w:eastAsia="黑体" w:cs="黑体"/>
                <w:b w:val="0"/>
                <w:bCs/>
                <w:color w:val="000000"/>
                <w:kern w:val="0"/>
                <w:sz w:val="24"/>
                <w:szCs w:val="24"/>
              </w:rPr>
              <w:t>功能</w:t>
            </w:r>
          </w:p>
        </w:tc>
      </w:tr>
      <w:tr w14:paraId="53D0F8F8">
        <w:tblPrEx>
          <w:tblCellMar>
            <w:top w:w="0" w:type="dxa"/>
            <w:left w:w="108" w:type="dxa"/>
            <w:bottom w:w="0" w:type="dxa"/>
            <w:right w:w="108" w:type="dxa"/>
          </w:tblCellMar>
        </w:tblPrEx>
        <w:trPr>
          <w:trHeight w:val="1055" w:hRule="atLeast"/>
          <w:jc w:val="center"/>
        </w:trPr>
        <w:tc>
          <w:tcPr>
            <w:tcW w:w="103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28DED83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307"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0D97655B">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微信公众号</w:t>
            </w:r>
          </w:p>
        </w:tc>
        <w:tc>
          <w:tcPr>
            <w:tcW w:w="143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16DE774">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门诊医保处方缴费</w:t>
            </w:r>
          </w:p>
        </w:tc>
        <w:tc>
          <w:tcPr>
            <w:tcW w:w="5294" w:type="dxa"/>
            <w:gridSpan w:val="2"/>
            <w:tcBorders>
              <w:top w:val="single" w:color="auto" w:sz="4" w:space="0"/>
              <w:left w:val="nil"/>
              <w:bottom w:val="single" w:color="auto" w:sz="4" w:space="0"/>
              <w:right w:val="single" w:color="auto" w:sz="4" w:space="0"/>
            </w:tcBorders>
            <w:shd w:val="clear" w:color="auto" w:fill="auto"/>
            <w:noWrap w:val="0"/>
            <w:vAlign w:val="center"/>
          </w:tcPr>
          <w:p w14:paraId="1B6CF81B">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医保电子凭证免密授权</w:t>
            </w:r>
          </w:p>
        </w:tc>
      </w:tr>
      <w:tr w14:paraId="70924C97">
        <w:tblPrEx>
          <w:tblCellMar>
            <w:top w:w="0" w:type="dxa"/>
            <w:left w:w="108" w:type="dxa"/>
            <w:bottom w:w="0" w:type="dxa"/>
            <w:right w:w="108" w:type="dxa"/>
          </w:tblCellMar>
        </w:tblPrEx>
        <w:trPr>
          <w:trHeight w:val="1045"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1CF4C67">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ABFC367">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2C17DBE">
            <w:pPr>
              <w:widowControl/>
              <w:jc w:val="center"/>
              <w:rPr>
                <w:rFonts w:hint="eastAsia" w:ascii="仿宋" w:hAnsi="仿宋" w:eastAsia="仿宋" w:cs="仿宋"/>
                <w:kern w:val="0"/>
                <w:sz w:val="24"/>
                <w:szCs w:val="24"/>
              </w:rPr>
            </w:pPr>
          </w:p>
        </w:tc>
        <w:tc>
          <w:tcPr>
            <w:tcW w:w="189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B39790B">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微信医保支付</w:t>
            </w: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4D8E9F89">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获取用户信息，根据用户就诊卡，获取用户当次就医的费用类型</w:t>
            </w:r>
          </w:p>
        </w:tc>
      </w:tr>
      <w:tr w14:paraId="6F987894">
        <w:tblPrEx>
          <w:tblCellMar>
            <w:top w:w="0" w:type="dxa"/>
            <w:left w:w="108" w:type="dxa"/>
            <w:bottom w:w="0" w:type="dxa"/>
            <w:right w:w="108" w:type="dxa"/>
          </w:tblCellMar>
        </w:tblPrEx>
        <w:trPr>
          <w:trHeight w:val="991"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BB96AF4">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1279562">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BF2C1D1">
            <w:pPr>
              <w:widowControl/>
              <w:jc w:val="center"/>
              <w:rPr>
                <w:rFonts w:hint="eastAsia" w:ascii="仿宋" w:hAnsi="仿宋" w:eastAsia="仿宋" w:cs="仿宋"/>
                <w:kern w:val="0"/>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1FC0627">
            <w:pPr>
              <w:widowControl/>
              <w:jc w:val="center"/>
              <w:rPr>
                <w:rFonts w:hint="eastAsia" w:ascii="仿宋" w:hAnsi="仿宋" w:eastAsia="仿宋" w:cs="仿宋"/>
                <w:kern w:val="0"/>
                <w:sz w:val="24"/>
                <w:szCs w:val="24"/>
                <w:lang w:eastAsia="zh-Hans"/>
              </w:rPr>
            </w:pP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6CF1F5DB">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获取符合医保移动支付要求的处方</w:t>
            </w:r>
          </w:p>
        </w:tc>
      </w:tr>
      <w:tr w14:paraId="00D5BBD1">
        <w:tblPrEx>
          <w:tblCellMar>
            <w:top w:w="0" w:type="dxa"/>
            <w:left w:w="108" w:type="dxa"/>
            <w:bottom w:w="0" w:type="dxa"/>
            <w:right w:w="108" w:type="dxa"/>
          </w:tblCellMar>
        </w:tblPrEx>
        <w:trPr>
          <w:trHeight w:val="841"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9CEEA8C">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850B409">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A8E702A">
            <w:pPr>
              <w:widowControl/>
              <w:jc w:val="center"/>
              <w:rPr>
                <w:rFonts w:hint="eastAsia" w:ascii="仿宋" w:hAnsi="仿宋" w:eastAsia="仿宋" w:cs="仿宋"/>
                <w:kern w:val="0"/>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EEACE43">
            <w:pPr>
              <w:widowControl/>
              <w:jc w:val="center"/>
              <w:rPr>
                <w:rFonts w:hint="eastAsia" w:ascii="仿宋" w:hAnsi="仿宋" w:eastAsia="仿宋" w:cs="仿宋"/>
                <w:kern w:val="0"/>
                <w:sz w:val="24"/>
                <w:szCs w:val="24"/>
                <w:lang w:eastAsia="zh-Hans"/>
              </w:rPr>
            </w:pP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0891E9CE">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接入移动医疗平台，为定点医院提供医保移动支付标准能力（诊间缴费）</w:t>
            </w:r>
          </w:p>
        </w:tc>
      </w:tr>
      <w:tr w14:paraId="681BC724">
        <w:tblPrEx>
          <w:tblCellMar>
            <w:top w:w="0" w:type="dxa"/>
            <w:left w:w="108" w:type="dxa"/>
            <w:bottom w:w="0" w:type="dxa"/>
            <w:right w:w="108" w:type="dxa"/>
          </w:tblCellMar>
        </w:tblPrEx>
        <w:trPr>
          <w:trHeight w:val="90"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9865CAA">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58EBD7D">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A0AB97F">
            <w:pPr>
              <w:widowControl/>
              <w:jc w:val="center"/>
              <w:rPr>
                <w:rFonts w:hint="eastAsia" w:ascii="仿宋" w:hAnsi="仿宋" w:eastAsia="仿宋" w:cs="仿宋"/>
                <w:kern w:val="0"/>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8FCC7DE">
            <w:pPr>
              <w:widowControl/>
              <w:jc w:val="center"/>
              <w:rPr>
                <w:rFonts w:hint="eastAsia" w:ascii="仿宋" w:hAnsi="仿宋" w:eastAsia="仿宋" w:cs="仿宋"/>
                <w:kern w:val="0"/>
                <w:sz w:val="24"/>
                <w:szCs w:val="24"/>
                <w:lang w:eastAsia="zh-Hans"/>
              </w:rPr>
            </w:pP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55A40616">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实现医保用户的“医保+自费”混合一站式结算。</w:t>
            </w:r>
          </w:p>
        </w:tc>
      </w:tr>
      <w:tr w14:paraId="574FDFE8">
        <w:tblPrEx>
          <w:tblCellMar>
            <w:top w:w="0" w:type="dxa"/>
            <w:left w:w="108" w:type="dxa"/>
            <w:bottom w:w="0" w:type="dxa"/>
            <w:right w:w="108" w:type="dxa"/>
          </w:tblCellMar>
        </w:tblPrEx>
        <w:trPr>
          <w:trHeight w:val="1051"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24E3EC2">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CE52BA6">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0004A4C">
            <w:pPr>
              <w:widowControl/>
              <w:jc w:val="center"/>
              <w:rPr>
                <w:rFonts w:hint="eastAsia" w:ascii="仿宋" w:hAnsi="仿宋" w:eastAsia="仿宋" w:cs="仿宋"/>
                <w:kern w:val="0"/>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F4D31FE">
            <w:pPr>
              <w:widowControl/>
              <w:jc w:val="center"/>
              <w:rPr>
                <w:rFonts w:hint="eastAsia" w:ascii="仿宋" w:hAnsi="仿宋" w:eastAsia="仿宋" w:cs="仿宋"/>
                <w:kern w:val="0"/>
                <w:sz w:val="24"/>
                <w:szCs w:val="24"/>
                <w:lang w:eastAsia="zh-Hans"/>
              </w:rPr>
            </w:pP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65CCA026">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提供原路返回的退费接口，支持线上自主退费及线下窗口人工退费。</w:t>
            </w:r>
          </w:p>
        </w:tc>
      </w:tr>
      <w:tr w14:paraId="5C4F2722">
        <w:tblPrEx>
          <w:tblCellMar>
            <w:top w:w="0" w:type="dxa"/>
            <w:left w:w="108" w:type="dxa"/>
            <w:bottom w:w="0" w:type="dxa"/>
            <w:right w:w="108" w:type="dxa"/>
          </w:tblCellMar>
        </w:tblPrEx>
        <w:trPr>
          <w:trHeight w:val="442"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D35CF0C">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8CABBCD">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135A7B7">
            <w:pPr>
              <w:widowControl/>
              <w:jc w:val="center"/>
              <w:rPr>
                <w:rFonts w:hint="eastAsia" w:ascii="仿宋" w:hAnsi="仿宋" w:eastAsia="仿宋" w:cs="仿宋"/>
                <w:kern w:val="0"/>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2DAE6C9">
            <w:pPr>
              <w:widowControl/>
              <w:jc w:val="center"/>
              <w:rPr>
                <w:rFonts w:hint="eastAsia" w:ascii="仿宋" w:hAnsi="仿宋" w:eastAsia="仿宋" w:cs="仿宋"/>
                <w:kern w:val="0"/>
                <w:sz w:val="24"/>
                <w:szCs w:val="24"/>
                <w:lang w:eastAsia="zh-Hans"/>
              </w:rPr>
            </w:pP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38E11E16">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支付码一码付</w:t>
            </w:r>
          </w:p>
        </w:tc>
      </w:tr>
      <w:tr w14:paraId="0A2685AA">
        <w:tblPrEx>
          <w:tblCellMar>
            <w:top w:w="0" w:type="dxa"/>
            <w:left w:w="108" w:type="dxa"/>
            <w:bottom w:w="0" w:type="dxa"/>
            <w:right w:w="108" w:type="dxa"/>
          </w:tblCellMar>
        </w:tblPrEx>
        <w:trPr>
          <w:trHeight w:val="736"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53EF11F">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EBC4B48">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AAF13A2">
            <w:pPr>
              <w:widowControl/>
              <w:jc w:val="center"/>
              <w:rPr>
                <w:rFonts w:hint="eastAsia" w:ascii="仿宋" w:hAnsi="仿宋" w:eastAsia="仿宋" w:cs="仿宋"/>
                <w:kern w:val="0"/>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272D912">
            <w:pPr>
              <w:widowControl/>
              <w:jc w:val="center"/>
              <w:rPr>
                <w:rFonts w:hint="eastAsia" w:ascii="仿宋" w:hAnsi="仿宋" w:eastAsia="仿宋" w:cs="仿宋"/>
                <w:kern w:val="0"/>
                <w:sz w:val="24"/>
                <w:szCs w:val="24"/>
                <w:lang w:eastAsia="zh-Hans"/>
              </w:rPr>
            </w:pP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7E584942">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居民医保和职工医药类型由HIS系统进行统筹，支持线上自费计算</w:t>
            </w:r>
          </w:p>
        </w:tc>
      </w:tr>
      <w:tr w14:paraId="07E22752">
        <w:tblPrEx>
          <w:tblCellMar>
            <w:top w:w="0" w:type="dxa"/>
            <w:left w:w="108" w:type="dxa"/>
            <w:bottom w:w="0" w:type="dxa"/>
            <w:right w:w="108" w:type="dxa"/>
          </w:tblCellMar>
        </w:tblPrEx>
        <w:trPr>
          <w:trHeight w:val="1391"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FEBFBDE">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440923B">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87EC64E">
            <w:pPr>
              <w:widowControl/>
              <w:jc w:val="center"/>
              <w:rPr>
                <w:rFonts w:hint="eastAsia" w:ascii="仿宋" w:hAnsi="仿宋" w:eastAsia="仿宋" w:cs="仿宋"/>
                <w:kern w:val="0"/>
                <w:sz w:val="24"/>
                <w:szCs w:val="24"/>
              </w:rPr>
            </w:pPr>
          </w:p>
        </w:tc>
        <w:tc>
          <w:tcPr>
            <w:tcW w:w="18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201B56">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UI改造</w:t>
            </w: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2CDFFC8F">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根据标准UI改造订单详情及结算等页面，为用户展示[医保</w:t>
            </w:r>
            <w:r>
              <w:rPr>
                <w:rFonts w:hint="eastAsia" w:ascii="仿宋" w:hAnsi="仿宋" w:eastAsia="仿宋" w:cs="仿宋"/>
                <w:kern w:val="0"/>
                <w:sz w:val="24"/>
                <w:szCs w:val="24"/>
              </w:rPr>
              <w:t>码</w:t>
            </w:r>
            <w:r>
              <w:rPr>
                <w:rFonts w:hint="eastAsia" w:ascii="仿宋" w:hAnsi="仿宋" w:eastAsia="仿宋" w:cs="仿宋"/>
                <w:kern w:val="0"/>
                <w:sz w:val="24"/>
                <w:szCs w:val="24"/>
                <w:lang w:eastAsia="zh-Hans"/>
              </w:rPr>
              <w:t>]</w:t>
            </w:r>
            <w:r>
              <w:rPr>
                <w:rFonts w:hint="eastAsia" w:ascii="仿宋" w:hAnsi="仿宋" w:eastAsia="仿宋" w:cs="仿宋"/>
                <w:kern w:val="0"/>
                <w:sz w:val="24"/>
                <w:szCs w:val="24"/>
              </w:rPr>
              <w:t>刷码</w:t>
            </w:r>
            <w:r>
              <w:rPr>
                <w:rFonts w:hint="eastAsia" w:ascii="仿宋" w:hAnsi="仿宋" w:eastAsia="仿宋" w:cs="仿宋"/>
                <w:kern w:val="0"/>
                <w:sz w:val="24"/>
                <w:szCs w:val="24"/>
                <w:lang w:eastAsia="zh-Hans"/>
              </w:rPr>
              <w:t>页面</w:t>
            </w:r>
          </w:p>
        </w:tc>
      </w:tr>
      <w:tr w14:paraId="5AD40E44">
        <w:tblPrEx>
          <w:tblCellMar>
            <w:top w:w="0" w:type="dxa"/>
            <w:left w:w="108" w:type="dxa"/>
            <w:bottom w:w="0" w:type="dxa"/>
            <w:right w:w="108" w:type="dxa"/>
          </w:tblCellMar>
        </w:tblPrEx>
        <w:trPr>
          <w:trHeight w:val="1391"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ADFD920">
            <w:pPr>
              <w:widowControl/>
              <w:jc w:val="center"/>
              <w:rPr>
                <w:rFonts w:hint="eastAsia" w:ascii="仿宋" w:hAnsi="仿宋" w:eastAsia="仿宋" w:cs="仿宋"/>
                <w:kern w:val="0"/>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3CB20B5">
            <w:pPr>
              <w:widowControl/>
              <w:jc w:val="center"/>
              <w:rPr>
                <w:rFonts w:hint="eastAsia" w:ascii="仿宋" w:hAnsi="仿宋" w:eastAsia="仿宋" w:cs="仿宋"/>
                <w:kern w:val="0"/>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0123014">
            <w:pPr>
              <w:widowControl/>
              <w:jc w:val="center"/>
              <w:rPr>
                <w:rFonts w:hint="eastAsia" w:ascii="仿宋" w:hAnsi="仿宋" w:eastAsia="仿宋" w:cs="仿宋"/>
                <w:kern w:val="0"/>
                <w:sz w:val="24"/>
                <w:szCs w:val="24"/>
              </w:rPr>
            </w:pPr>
          </w:p>
        </w:tc>
        <w:tc>
          <w:tcPr>
            <w:tcW w:w="18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3D1516">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消息通知</w:t>
            </w:r>
          </w:p>
        </w:tc>
        <w:tc>
          <w:tcPr>
            <w:tcW w:w="3401" w:type="dxa"/>
            <w:tcBorders>
              <w:top w:val="single" w:color="auto" w:sz="4" w:space="0"/>
              <w:left w:val="nil"/>
              <w:bottom w:val="single" w:color="auto" w:sz="4" w:space="0"/>
              <w:right w:val="single" w:color="auto" w:sz="4" w:space="0"/>
            </w:tcBorders>
            <w:shd w:val="clear" w:color="auto" w:fill="auto"/>
            <w:noWrap w:val="0"/>
            <w:vAlign w:val="center"/>
          </w:tcPr>
          <w:p w14:paraId="64ABC84F">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通过公众号模板消息通知给用户下发相应的模板消息，进行相关提醒</w:t>
            </w:r>
          </w:p>
        </w:tc>
      </w:tr>
      <w:tr w14:paraId="06AEF16B">
        <w:tblPrEx>
          <w:tblCellMar>
            <w:top w:w="0" w:type="dxa"/>
            <w:left w:w="108" w:type="dxa"/>
            <w:bottom w:w="0" w:type="dxa"/>
            <w:right w:w="108" w:type="dxa"/>
          </w:tblCellMar>
        </w:tblPrEx>
        <w:trPr>
          <w:trHeight w:val="355"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83F4748">
            <w:pPr>
              <w:widowControl/>
              <w:jc w:val="center"/>
              <w:rPr>
                <w:rFonts w:hint="eastAsia" w:ascii="仿宋" w:hAnsi="仿宋" w:eastAsia="仿宋" w:cs="仿宋"/>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1C61FD2">
            <w:pPr>
              <w:widowControl/>
              <w:jc w:val="center"/>
              <w:rPr>
                <w:rFonts w:hint="eastAsia" w:ascii="仿宋" w:hAnsi="仿宋" w:eastAsia="仿宋" w:cs="仿宋"/>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DF1E5AA">
            <w:pPr>
              <w:widowControl/>
              <w:jc w:val="center"/>
              <w:rPr>
                <w:rFonts w:hint="eastAsia" w:ascii="仿宋" w:hAnsi="仿宋" w:eastAsia="仿宋" w:cs="仿宋"/>
                <w:sz w:val="24"/>
                <w:szCs w:val="24"/>
              </w:rPr>
            </w:pPr>
          </w:p>
        </w:tc>
        <w:tc>
          <w:tcPr>
            <w:tcW w:w="189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9B446F7">
            <w:pPr>
              <w:widowControl/>
              <w:jc w:val="center"/>
              <w:rPr>
                <w:rFonts w:hint="eastAsia" w:ascii="仿宋" w:hAnsi="仿宋" w:eastAsia="仿宋" w:cs="仿宋"/>
                <w:sz w:val="24"/>
                <w:szCs w:val="24"/>
                <w:lang w:eastAsia="zh-Hans"/>
              </w:rPr>
            </w:pPr>
            <w:r>
              <w:rPr>
                <w:rFonts w:hint="eastAsia" w:ascii="仿宋" w:hAnsi="仿宋" w:eastAsia="仿宋" w:cs="仿宋"/>
                <w:kern w:val="0"/>
                <w:sz w:val="24"/>
                <w:szCs w:val="24"/>
                <w:lang w:eastAsia="zh-Hans"/>
              </w:rPr>
              <w:t>对接HIS接口</w:t>
            </w:r>
          </w:p>
        </w:tc>
        <w:tc>
          <w:tcPr>
            <w:tcW w:w="340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64884C">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HIS</w:t>
            </w:r>
            <w:r>
              <w:rPr>
                <w:rFonts w:hint="eastAsia" w:ascii="仿宋" w:hAnsi="仿宋" w:eastAsia="仿宋" w:cs="仿宋"/>
                <w:kern w:val="0"/>
                <w:sz w:val="24"/>
                <w:szCs w:val="24"/>
              </w:rPr>
              <w:t>费用</w:t>
            </w:r>
            <w:r>
              <w:rPr>
                <w:rFonts w:hint="eastAsia" w:ascii="仿宋" w:hAnsi="仿宋" w:eastAsia="仿宋" w:cs="仿宋"/>
                <w:kern w:val="0"/>
                <w:sz w:val="24"/>
                <w:szCs w:val="24"/>
                <w:lang w:eastAsia="zh-Hans"/>
              </w:rPr>
              <w:t>预结算</w:t>
            </w:r>
          </w:p>
        </w:tc>
      </w:tr>
      <w:tr w14:paraId="486A867C">
        <w:tblPrEx>
          <w:tblCellMar>
            <w:top w:w="0" w:type="dxa"/>
            <w:left w:w="108" w:type="dxa"/>
            <w:bottom w:w="0" w:type="dxa"/>
            <w:right w:w="108" w:type="dxa"/>
          </w:tblCellMar>
        </w:tblPrEx>
        <w:trPr>
          <w:trHeight w:val="355" w:hRule="atLeast"/>
          <w:jc w:val="center"/>
        </w:trPr>
        <w:tc>
          <w:tcPr>
            <w:tcW w:w="10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CDA12C1">
            <w:pPr>
              <w:widowControl/>
              <w:jc w:val="center"/>
              <w:rPr>
                <w:rFonts w:hint="eastAsia" w:ascii="仿宋" w:hAnsi="仿宋" w:eastAsia="仿宋" w:cs="仿宋"/>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42E3B25">
            <w:pPr>
              <w:widowControl/>
              <w:jc w:val="center"/>
              <w:rPr>
                <w:rFonts w:hint="eastAsia" w:ascii="仿宋" w:hAnsi="仿宋" w:eastAsia="仿宋" w:cs="仿宋"/>
                <w:sz w:val="24"/>
                <w:szCs w:val="24"/>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FDFA284">
            <w:pPr>
              <w:widowControl/>
              <w:jc w:val="center"/>
              <w:rPr>
                <w:rFonts w:hint="eastAsia" w:ascii="仿宋" w:hAnsi="仿宋" w:eastAsia="仿宋" w:cs="仿宋"/>
                <w:sz w:val="24"/>
                <w:szCs w:val="24"/>
              </w:rPr>
            </w:pPr>
          </w:p>
        </w:tc>
        <w:tc>
          <w:tcPr>
            <w:tcW w:w="18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93AF47E">
            <w:pPr>
              <w:widowControl/>
              <w:jc w:val="center"/>
              <w:rPr>
                <w:rFonts w:hint="eastAsia" w:ascii="仿宋" w:hAnsi="仿宋" w:eastAsia="仿宋" w:cs="仿宋"/>
                <w:sz w:val="24"/>
                <w:szCs w:val="24"/>
              </w:rPr>
            </w:pPr>
          </w:p>
        </w:tc>
        <w:tc>
          <w:tcPr>
            <w:tcW w:w="340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0EC27">
            <w:pPr>
              <w:widowControl/>
              <w:jc w:val="center"/>
              <w:rPr>
                <w:rFonts w:hint="eastAsia" w:ascii="仿宋" w:hAnsi="仿宋" w:eastAsia="仿宋" w:cs="仿宋"/>
                <w:kern w:val="0"/>
                <w:sz w:val="24"/>
                <w:szCs w:val="24"/>
                <w:lang w:eastAsia="zh-Hans"/>
              </w:rPr>
            </w:pPr>
            <w:r>
              <w:rPr>
                <w:rFonts w:hint="eastAsia" w:ascii="仿宋" w:hAnsi="仿宋" w:eastAsia="仿宋" w:cs="仿宋"/>
                <w:kern w:val="0"/>
                <w:sz w:val="24"/>
                <w:szCs w:val="24"/>
                <w:lang w:eastAsia="zh-Hans"/>
              </w:rPr>
              <w:t>HIS</w:t>
            </w:r>
            <w:r>
              <w:rPr>
                <w:rFonts w:hint="eastAsia" w:ascii="仿宋" w:hAnsi="仿宋" w:eastAsia="仿宋" w:cs="仿宋"/>
                <w:kern w:val="0"/>
                <w:sz w:val="24"/>
                <w:szCs w:val="24"/>
              </w:rPr>
              <w:t>费用结算</w:t>
            </w:r>
          </w:p>
        </w:tc>
      </w:tr>
    </w:tbl>
    <w:p w14:paraId="3E762994">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三、软件开发规范</w:t>
      </w:r>
    </w:p>
    <w:p w14:paraId="106C8A78">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default"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根据最新发布的《医保移动支付中心定点医药机构接入指南》进行操作。</w:t>
      </w:r>
    </w:p>
    <w:p w14:paraId="1FBEA0C5">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lang w:val="en-US" w:eastAsia="zh-CN"/>
        </w:rPr>
        <w:t>四、合同主要条款</w:t>
      </w:r>
    </w:p>
    <w:p w14:paraId="38541404">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（一）交货时间：在双方签署合同后的一个自然月内完成交付。</w:t>
      </w:r>
    </w:p>
    <w:p w14:paraId="65593438">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二）验收流程：验收工作由使用科室、电脑网络科、总务科以及供应商共同参与，并严格遵循《医保移动支付中心定点医药机构接入指南》所规定的验收标准执行。在验收过程中，需填写《验收测试报告》并由参与各方签字确认，此报告将作为后续支付款项的重要依据。</w:t>
      </w:r>
    </w:p>
    <w:p w14:paraId="04A4B6F9">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三）货款支付方式：货款支付采取分期方式，具体为：合同签订且生效后的30个工作日内，支付合同总金额的30%；安装调试工作完成并通过验收后的30个工作日内，支付合同总金额的65%；质保期满且确认无其他扣款事宜后的30个工作日内，支付剩余的合同总金额的5%。</w:t>
      </w:r>
    </w:p>
    <w:p w14:paraId="4E7C0466">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default"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四）质保条款：自验收合格之日起，供应商将提供为期一年的免费维护服务，并指派一名服务工程师专门负责。在维护期内，所有与改造项目相关的软件升级及最新版本提供均不收取额外费用。此外，供应商还将提供现场电话支持、远程登录维护等服务。对于影响业务正常开展的故障，维护人员需在接到通知后5分钟内响应，30分钟内向甲方主管负责人报告，并在1小时内调配资源着手解决。若问题无法在此时限内解决，将安排技术人员进行现场技术支持，确保问题在4小时内得到解决。在整个故障处理过程中，供应商需保持每小时至少一次</w:t>
      </w:r>
      <w:bookmarkStart w:id="0" w:name="_GoBack"/>
      <w:bookmarkEnd w:id="0"/>
      <w:r>
        <w:rPr>
          <w:rFonts w:hint="eastAsia" w:ascii="仿宋" w:hAnsi="仿宋" w:eastAsia="仿宋" w:cs="仿宋"/>
          <w:i w:val="0"/>
          <w:iCs w:val="0"/>
          <w:caps w:val="0"/>
          <w:color w:val="000000"/>
          <w:spacing w:val="0"/>
          <w:sz w:val="32"/>
          <w:szCs w:val="32"/>
          <w:shd w:val="clear" w:fill="FFFFFF"/>
          <w:lang w:val="en-US" w:eastAsia="zh-CN"/>
        </w:rPr>
        <w:t>与客户的沟通汇报。对于不影响业务正常开展的故障，供应商需在30分钟内响应用户投诉，1小时内向甲方主管负责人报告，并在24小时内解决问题。同时，供应商还将每月进行一次电话或现场回访，至少每季度提供一次上门检修服务，以确保系统的稳定高效运行。在质保期结束后，供应商仍将继续提供技术支持等售后服务，并免费提供因软件设计缺陷而开发出的修复补丁。</w:t>
      </w:r>
    </w:p>
    <w:sectPr>
      <w:footerReference r:id="rId3" w:type="default"/>
      <w:type w:val="continuous"/>
      <w:pgSz w:w="11906" w:h="16838"/>
      <w:pgMar w:top="2098" w:right="1474" w:bottom="1984" w:left="1587" w:header="850" w:footer="1417" w:gutter="0"/>
      <w:paperSrc/>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AMGD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MGDT">
    <w:panose1 w:val="02000400000000000000"/>
    <w:charset w:val="00"/>
    <w:family w:val="auto"/>
    <w:pitch w:val="default"/>
    <w:sig w:usb0="80000003" w:usb1="1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60F1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CC4257">
                          <w:pPr>
                            <w:pStyle w:val="5"/>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第</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页共</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NUMPAGES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CC4257">
                    <w:pPr>
                      <w:pStyle w:val="5"/>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第</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页共</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NUMPAGES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FC4032"/>
    <w:multiLevelType w:val="multilevel"/>
    <w:tmpl w:val="61FC4032"/>
    <w:lvl w:ilvl="0" w:tentative="0">
      <w:start w:val="1"/>
      <w:numFmt w:val="chineseCountingThousand"/>
      <w:pStyle w:val="2"/>
      <w:suff w:val="space"/>
      <w:lvlText w:val="%1、"/>
      <w:lvlJc w:val="left"/>
      <w:pPr>
        <w:ind w:left="2984" w:hanging="432"/>
      </w:pPr>
      <w:rPr>
        <w:rFonts w:hint="eastAsia" w:ascii="宋体" w:hAnsi="宋体" w:eastAsia="宋体" w:cs="Times New Roman"/>
      </w:rPr>
    </w:lvl>
    <w:lvl w:ilvl="1" w:tentative="0">
      <w:start w:val="1"/>
      <w:numFmt w:val="decimal"/>
      <w:isLgl/>
      <w:suff w:val="space"/>
      <w:lvlText w:val="%1.%2"/>
      <w:lvlJc w:val="left"/>
      <w:pPr>
        <w:ind w:left="3128" w:hanging="576"/>
      </w:pPr>
      <w:rPr>
        <w:rFonts w:hint="eastAsia" w:ascii="宋体" w:hAnsi="宋体" w:eastAsia="宋体" w:cs="Times New Roman"/>
      </w:rPr>
    </w:lvl>
    <w:lvl w:ilvl="2" w:tentative="0">
      <w:start w:val="1"/>
      <w:numFmt w:val="decimal"/>
      <w:isLgl/>
      <w:suff w:val="space"/>
      <w:lvlText w:val="%1.%2.%3"/>
      <w:lvlJc w:val="left"/>
      <w:pPr>
        <w:ind w:left="3272" w:hanging="720"/>
      </w:pPr>
      <w:rPr>
        <w:rFonts w:hint="eastAsia" w:ascii="宋体" w:hAnsi="Calibri Light" w:eastAsia="宋体" w:cs="Calibri Light"/>
      </w:rPr>
    </w:lvl>
    <w:lvl w:ilvl="3" w:tentative="0">
      <w:start w:val="1"/>
      <w:numFmt w:val="decimal"/>
      <w:isLgl/>
      <w:suff w:val="space"/>
      <w:lvlText w:val="%1.%2.%3.%4"/>
      <w:lvlJc w:val="left"/>
      <w:pPr>
        <w:ind w:left="3416" w:hanging="864"/>
      </w:pPr>
      <w:rPr>
        <w:rFonts w:hint="eastAsia" w:ascii="宋体" w:eastAsia="宋体" w:cs="Times New Roman"/>
      </w:rPr>
    </w:lvl>
    <w:lvl w:ilvl="4" w:tentative="0">
      <w:start w:val="1"/>
      <w:numFmt w:val="decimal"/>
      <w:isLgl/>
      <w:suff w:val="space"/>
      <w:lvlText w:val="%1.%2.%3.%4.%5"/>
      <w:lvlJc w:val="left"/>
      <w:pPr>
        <w:ind w:left="3560" w:hanging="1008"/>
      </w:pPr>
      <w:rPr>
        <w:rFonts w:hint="eastAsia" w:ascii="宋体" w:hAnsi="Calibri Light" w:eastAsia="宋体" w:cs="Calibri Light"/>
      </w:rPr>
    </w:lvl>
    <w:lvl w:ilvl="5" w:tentative="0">
      <w:start w:val="1"/>
      <w:numFmt w:val="decimal"/>
      <w:isLgl/>
      <w:suff w:val="space"/>
      <w:lvlText w:val="%1.%2.%3.%4.%5.%6"/>
      <w:lvlJc w:val="left"/>
      <w:pPr>
        <w:ind w:left="3704" w:hanging="1152"/>
      </w:pPr>
      <w:rPr>
        <w:rFonts w:hint="eastAsia" w:ascii="宋体" w:eastAsia="宋体" w:cs="Times New Roman"/>
      </w:rPr>
    </w:lvl>
    <w:lvl w:ilvl="6" w:tentative="0">
      <w:start w:val="1"/>
      <w:numFmt w:val="decimal"/>
      <w:isLgl/>
      <w:suff w:val="space"/>
      <w:lvlText w:val="%1.%2.%3.%4.%5.%6.%7"/>
      <w:lvlJc w:val="left"/>
      <w:pPr>
        <w:ind w:left="3848" w:hanging="1296"/>
      </w:pPr>
      <w:rPr>
        <w:rFonts w:hint="eastAsia" w:ascii="宋体" w:hAnsi="Calibri Light" w:eastAsia="宋体" w:cs="Calibri Light"/>
      </w:rPr>
    </w:lvl>
    <w:lvl w:ilvl="7" w:tentative="0">
      <w:start w:val="1"/>
      <w:numFmt w:val="decimal"/>
      <w:isLgl/>
      <w:suff w:val="space"/>
      <w:lvlText w:val="%1.%2.%3.%4.%5.%6.%7.%8"/>
      <w:lvlJc w:val="left"/>
      <w:pPr>
        <w:ind w:left="3992" w:hanging="1440"/>
      </w:pPr>
      <w:rPr>
        <w:rFonts w:hint="eastAsia" w:ascii="宋体" w:eastAsia="宋体" w:cs="Times New Roman"/>
      </w:rPr>
    </w:lvl>
    <w:lvl w:ilvl="8" w:tentative="0">
      <w:start w:val="1"/>
      <w:numFmt w:val="decimal"/>
      <w:isLgl/>
      <w:suff w:val="space"/>
      <w:lvlText w:val="%1.%2.%3.%4.%5.%6.%7.%8.%9"/>
      <w:lvlJc w:val="left"/>
      <w:pPr>
        <w:ind w:left="4136" w:hanging="1584"/>
      </w:pPr>
      <w:rPr>
        <w:rFonts w:hint="eastAsia" w:ascii="宋体" w:eastAsia="宋体"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5ZTRhODc1NjFjZmQ2ZmI1NWFmZDU0ZDE4YTg2ZjkifQ=="/>
  </w:docVars>
  <w:rsids>
    <w:rsidRoot w:val="00000000"/>
    <w:rsid w:val="076540E1"/>
    <w:rsid w:val="0EC82A4F"/>
    <w:rsid w:val="1C7C6848"/>
    <w:rsid w:val="2ADF2906"/>
    <w:rsid w:val="2BFD373B"/>
    <w:rsid w:val="4C3630B2"/>
    <w:rsid w:val="518F061F"/>
    <w:rsid w:val="56195771"/>
    <w:rsid w:val="5C5E674A"/>
    <w:rsid w:val="62FD6392"/>
    <w:rsid w:val="70264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widowControl/>
      <w:numPr>
        <w:ilvl w:val="0"/>
        <w:numId w:val="1"/>
      </w:numPr>
      <w:spacing w:before="340" w:after="330"/>
      <w:jc w:val="center"/>
      <w:outlineLvl w:val="0"/>
    </w:pPr>
    <w:rPr>
      <w:b/>
      <w:bCs/>
      <w:kern w:val="44"/>
      <w:sz w:val="44"/>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First Indent 2"/>
    <w:basedOn w:val="4"/>
    <w:qFormat/>
    <w:uiPriority w:val="0"/>
    <w:pPr>
      <w:ind w:firstLine="200" w:firstLineChars="200"/>
      <w:jc w:val="left"/>
    </w:pPr>
    <w:rPr>
      <w:rFonts w:ascii="宋体" w:hAnsi="宋体"/>
    </w:rPr>
  </w:style>
  <w:style w:type="paragraph" w:styleId="4">
    <w:name w:val="Body Text Indent"/>
    <w:basedOn w:val="1"/>
    <w:qFormat/>
    <w:uiPriority w:val="99"/>
    <w:pPr>
      <w:spacing w:line="360" w:lineRule="auto"/>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Table Text"/>
    <w:basedOn w:val="1"/>
    <w:semiHidden/>
    <w:qFormat/>
    <w:uiPriority w:val="0"/>
    <w:rPr>
      <w:rFonts w:ascii="宋体" w:hAnsi="宋体" w:eastAsia="宋体" w:cs="宋体"/>
      <w:sz w:val="25"/>
      <w:szCs w:val="25"/>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1427</Words>
  <Characters>1512</Characters>
  <Lines>0</Lines>
  <Paragraphs>0</Paragraphs>
  <TotalTime>14</TotalTime>
  <ScaleCrop>false</ScaleCrop>
  <LinksUpToDate>false</LinksUpToDate>
  <CharactersWithSpaces>1513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2024-08-06T03:20:00Z</dcterms:created>
  <dc:creator>HHH</dc:creator>
  <cp:lastModifiedBy>殷智勇</cp:lastModifiedBy>
  <cp:lastPrinted>2024-08-06T08:35:00Z</cp:lastPrinted>
  <dcterms:modified xsi:type="dcterms:W3CDTF">2024-08-08T08:53:25Z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7A651CD2856446A99C84796F7DA1B507_13</vt:lpwstr>
  </property>
</Properties>
</file>