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F1482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textAlignment w:val="auto"/>
        <w:rPr>
          <w:rFonts w:hint="default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Style w:val="8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</w:p>
    <w:p w14:paraId="363A634A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firstLine="0"/>
        <w:jc w:val="center"/>
        <w:textAlignment w:val="auto"/>
        <w:rPr>
          <w:rFonts w:hint="default" w:ascii="����" w:hAnsi="����" w:eastAsia="����" w:cs="����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8"/>
          <w:rFonts w:hint="eastAsia" w:ascii="宋体" w:hAnsi="宋体" w:eastAsia="宋体" w:cs="宋体"/>
          <w:b/>
          <w:bCs w:val="0"/>
          <w:i w:val="0"/>
          <w:iCs w:val="0"/>
          <w:caps w:val="0"/>
          <w:color w:val="000000"/>
          <w:spacing w:val="0"/>
          <w:sz w:val="52"/>
          <w:szCs w:val="52"/>
          <w:shd w:val="clear" w:fill="FFFFFF"/>
        </w:rPr>
        <w:t>采购需求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 w14:paraId="133E33D3"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561CFBE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一、项目概况</w:t>
      </w:r>
    </w:p>
    <w:p w14:paraId="733C913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（一）中央空调系统(不含空调水处理)维保：12小时内响应服务，24小时内到现场及时处理，负责院区中央空调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4台风冷模块机、4台冷冻水泵、2套定压补水装置、103台卧式风机盘管等与中央空调相关设备的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维护、保修工作；负责冷冻冷却水系统管道及其阀门等设备的维护保养；负责系统清洁卫生(包括过滤器的清洗和更换、机房和设备机身的清洁);负责其它新增加及改造的空调通风设备维护保养。</w:t>
      </w:r>
    </w:p>
    <w:p w14:paraId="0231D97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二）净化区域(含手术室)空调通风系统的维护和保养：12小时内响应服务，24小时内到现场及时处理，综合楼首层发热门诊、综合楼消毒供应中心、综合楼二层检验科、综合楼三层计生手术室、综合楼四层手术室、综合楼四层产科手术室；负责住院楼三层NICU、住院楼四层ICU空调通风系统的维护保养。</w:t>
      </w:r>
    </w:p>
    <w:p w14:paraId="26CF895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（三）维保期限：1年。</w:t>
      </w:r>
    </w:p>
    <w:p w14:paraId="68E98CA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二、维保服务要求</w:t>
      </w:r>
    </w:p>
    <w:p w14:paraId="732C543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（一）执行合同期间，新增加或改造的空调通风、洁净设备，不超过设备清单量的10%的，均属于本项目维保范围。</w:t>
      </w:r>
    </w:p>
    <w:p w14:paraId="1D623A3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（二）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服务商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资质要求：参与本项目公司需要有空调安装维修养护相关资质；有主机设备厂家安装维修保养授权等。</w:t>
      </w:r>
    </w:p>
    <w:p w14:paraId="2BBE1EE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三）维保人员配置要求：本项目应配置1名大客户经理和1名文员与采购人对接，提供及时的服务响应，响应内容包含但不限于以下内容：组织技术人员每月例会并记录，按采购人要求提供维保工作记录表格、工作进度表格等，维保工作资料整理和报送，定期提交维保工作总结等。</w:t>
      </w:r>
    </w:p>
    <w:p w14:paraId="1A0B8F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（四）维保服务应符合以下技术标准。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2895"/>
        <w:gridCol w:w="4305"/>
      </w:tblGrid>
      <w:tr w14:paraId="582A2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1" w:type="dxa"/>
            <w:shd w:val="clear" w:color="auto" w:fill="auto"/>
            <w:vAlign w:val="top"/>
          </w:tcPr>
          <w:p w14:paraId="307CA44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4"/>
                <w:szCs w:val="24"/>
              </w:rPr>
              <w:t>专业</w:t>
            </w:r>
          </w:p>
        </w:tc>
        <w:tc>
          <w:tcPr>
            <w:tcW w:w="2895" w:type="dxa"/>
            <w:shd w:val="clear" w:color="auto" w:fill="auto"/>
            <w:vAlign w:val="top"/>
          </w:tcPr>
          <w:p w14:paraId="3C897C5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pacing w:val="5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5"/>
                <w:sz w:val="24"/>
                <w:szCs w:val="24"/>
                <w:lang w:val="en-US" w:eastAsia="zh-CN"/>
              </w:rPr>
              <w:t>标准或规范编号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63BF882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</w:rPr>
              <w:t>名称</w:t>
            </w:r>
          </w:p>
        </w:tc>
      </w:tr>
      <w:tr w14:paraId="26BEB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restart"/>
            <w:vAlign w:val="center"/>
          </w:tcPr>
          <w:p w14:paraId="7A90388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center"/>
              <w:textAlignment w:val="auto"/>
              <w:rPr>
                <w:rFonts w:hint="default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kern w:val="2"/>
                <w:sz w:val="24"/>
                <w:szCs w:val="24"/>
                <w:lang w:val="en-US" w:eastAsia="zh-CN" w:bidi="ar-SA"/>
              </w:rPr>
              <w:t>空调</w:t>
            </w:r>
          </w:p>
        </w:tc>
        <w:tc>
          <w:tcPr>
            <w:tcW w:w="2895" w:type="dxa"/>
            <w:shd w:val="clear" w:color="auto" w:fill="auto"/>
            <w:vAlign w:val="center"/>
          </w:tcPr>
          <w:p w14:paraId="24B26D7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GB-51039-2014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19C8AAB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综合医院建筑设计规范</w:t>
            </w:r>
          </w:p>
        </w:tc>
      </w:tr>
      <w:tr w14:paraId="24DA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continue"/>
          </w:tcPr>
          <w:p w14:paraId="5A9BA8C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A52B69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GB-15982-2012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1D12318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医院消毒卫生标准</w:t>
            </w:r>
          </w:p>
        </w:tc>
      </w:tr>
      <w:tr w14:paraId="0E32A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continue"/>
          </w:tcPr>
          <w:p w14:paraId="719BA8C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3B41D9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GB-19210-2003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70560EC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空调通风系统清洗规范</w:t>
            </w:r>
          </w:p>
        </w:tc>
      </w:tr>
      <w:tr w14:paraId="7F847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continue"/>
          </w:tcPr>
          <w:p w14:paraId="16418EE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BE085D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GB-50333-2013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5CEB5DC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医院洁净手术部建筑技术规范</w:t>
            </w:r>
          </w:p>
        </w:tc>
      </w:tr>
      <w:tr w14:paraId="49940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continue"/>
          </w:tcPr>
          <w:p w14:paraId="76C91E4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FFD26E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WS/T368-2012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67C9EEA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医院空气净化管理规范</w:t>
            </w:r>
          </w:p>
        </w:tc>
      </w:tr>
      <w:tr w14:paraId="11390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continue"/>
          </w:tcPr>
          <w:p w14:paraId="7547B5A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87010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GB-50346-2011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05B9E71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生物安全实验室建筑技术规范</w:t>
            </w:r>
          </w:p>
        </w:tc>
      </w:tr>
      <w:tr w14:paraId="07A7C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1" w:type="dxa"/>
            <w:vMerge w:val="continue"/>
          </w:tcPr>
          <w:p w14:paraId="50325D0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6" w:lineRule="exact"/>
              <w:ind w:right="0" w:rightChars="0"/>
              <w:jc w:val="lef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9C6EFC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GB50365-2019</w:t>
            </w:r>
          </w:p>
        </w:tc>
        <w:tc>
          <w:tcPr>
            <w:tcW w:w="4305" w:type="dxa"/>
            <w:shd w:val="clear" w:color="auto" w:fill="auto"/>
            <w:vAlign w:val="top"/>
          </w:tcPr>
          <w:p w14:paraId="392BAF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空调通风系统运行管理标准</w:t>
            </w:r>
          </w:p>
        </w:tc>
      </w:tr>
    </w:tbl>
    <w:p w14:paraId="647193B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）初检：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供应商接手维保工作后，应尽快组织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第一次巡检，对巡检发现的故障进行处理。所涉及的在第一次巡检时发现损坏的配件经委托方人员在场确认后，此类已在协议生效之前损坏的零配件的更换应由委托方承担费用。</w:t>
      </w:r>
    </w:p>
    <w:p w14:paraId="0CF7620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验收：供应商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每3个月向委托方提供维保服务情况总结等相关资料，委托方进行监管检查、综合考评，据此对服务管理费进行结算。若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考核未达标，委托方有权终止合同。</w:t>
      </w:r>
    </w:p>
    <w:p w14:paraId="092824B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）在维保作业期间，如有需更换的零部件，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须报请委托方确认，零部件费用由委托方承担，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同等价格下优先选用供应商提供零部件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供应商提供维修服务，免费更换相关零部件。</w:t>
      </w:r>
    </w:p>
    <w:p w14:paraId="7DBD8EF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三、商务要求</w:t>
      </w:r>
    </w:p>
    <w:p w14:paraId="1FEEB55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付款方式：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分四期付款。三个月为一期，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按合同要求完成服务和考评，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收到考评结果后，10日内向委托方出具合法有效的发票，委托方收到发票并确认无误后，30日内办理支付手续，向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支付维保费。</w:t>
      </w:r>
    </w:p>
    <w:p w14:paraId="702ADCF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（二）合同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一式肆份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双方</w:t>
      </w:r>
      <w:bookmarkStart w:id="0" w:name="_GoBack"/>
      <w:bookmarkEnd w:id="0"/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各执贰份，具有同等法律效应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0" w:footer="1417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60F1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CC4257">
                          <w:pPr>
                            <w:pStyle w:val="2"/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第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页共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" w:cs="Times New Roman"/>
                              <w:sz w:val="24"/>
                              <w:szCs w:val="24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CC4257">
                    <w:pPr>
                      <w:pStyle w:val="2"/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第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页共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" w:cs="Times New Roman"/>
                        <w:sz w:val="24"/>
                        <w:szCs w:val="24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0EC82A4F"/>
    <w:rsid w:val="1C7C6848"/>
    <w:rsid w:val="2ADF2906"/>
    <w:rsid w:val="2BFD373B"/>
    <w:rsid w:val="62FD6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2024-08-06T03:20:10Z</dcterms:created>
  <dc:creator>HHH</dc:creator>
  <cp:lastModifiedBy>殷智勇</cp:lastModifiedBy>
  <cp:lastPrinted>2024-08-06T08:35:25Z</cp:lastPrinted>
  <dcterms:modified xsi:type="dcterms:W3CDTF">2024-08-06T08:53:08Z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7A651CD2856446A99C84796F7DA1B507_13</vt:lpwstr>
  </property>
</Properties>
</file>