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CF1482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textAlignment w:val="auto"/>
        <w:rPr>
          <w:rFonts w:hint="default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附件</w:t>
      </w: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</w:t>
      </w:r>
    </w:p>
    <w:p w14:paraId="363A634A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52"/>
          <w:szCs w:val="52"/>
          <w:shd w:val="clear" w:fill="FFFFFF"/>
        </w:rPr>
        <w:t>采购需求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p w14:paraId="133E33D3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561CFBE5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一、项目概况</w:t>
      </w:r>
    </w:p>
    <w:p w14:paraId="0CFFDA18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项目名称：检验科冷库改造工程项目</w:t>
      </w:r>
    </w:p>
    <w:p w14:paraId="18EB934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地址：恩平市新城东路3号综合楼二楼检验科。</w:t>
      </w:r>
    </w:p>
    <w:p w14:paraId="4A0F630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二、性能需求</w:t>
      </w:r>
    </w:p>
    <w:p w14:paraId="307CAF82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（一）冷库容积：4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×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2.6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×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2.3（长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×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宽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×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高，单位：米），约24立方米，具体尺寸根据实际场地测量确定。</w:t>
      </w:r>
    </w:p>
    <w:p w14:paraId="369B99E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（二）冷库温度：+2℃～+8℃，可任意调节。</w:t>
      </w:r>
    </w:p>
    <w:p w14:paraId="53A0176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（三）冷库板材及结构</w:t>
      </w:r>
    </w:p>
    <w:p w14:paraId="0B12DF25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1.结构:预埋勾锁紧装置，六面体相互锁紧方法连接。库板为高压发泡自熄型B2级聚氨酯夹芯库板。</w:t>
      </w:r>
    </w:p>
    <w:p w14:paraId="1B2C261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2.库板:双面彩钢板，中间保温材料为高压发泡聚氨酯，地面镀锌，库板厚度≥100mm；钢板厚度≥0.326mm。</w:t>
      </w:r>
    </w:p>
    <w:p w14:paraId="01FB8F3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.冷库补货门：库门采用外开式半埋门；库门门框安装有防霜自动限温加热丝；冷库板密封处处理平整；库内另设冷库专用LED照明灯，并可通过门开关控制，防水等级IP65或以上；冷库门带有应急机械开锁门装置，保证在内部也可以打开冷库门。</w:t>
      </w:r>
    </w:p>
    <w:p w14:paraId="42C564B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4.中空玻璃透明门：配置3套中空玻璃透明门，方便观察库内物品；玻璃门标配机械锁。</w:t>
      </w:r>
    </w:p>
    <w:p w14:paraId="77AA9E82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四）操作控制系统：双系统可切换，可设定冷补偿、故障切换；库内设备异常报警，控制电源故障报警、温度异常报警，传感器故障报警、电源断电报警等，当出现故障发出声光报警，可发短信或者语音通话实时报故障，并切换到备用机组运行以维持库温；冷库为一备一用控制系统,具有控制系统自我备用功能；控制系统整装标配出厂；速冷功能当冷库大量进货或初始使用,可开启速冷模式,双系统共同制冷,达到速冷的效果；控制器温度显示精度0.1。</w:t>
      </w:r>
    </w:p>
    <w:p w14:paraId="5E38394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（五）制冷设备参数</w:t>
      </w:r>
    </w:p>
    <w:p w14:paraId="4D72951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1.安装两套风冷式制冷系统，一用一备，互为备用，100%负荷备用，即一套机组可以维持冷库温度正常。</w:t>
      </w:r>
    </w:p>
    <w:p w14:paraId="39D0E146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2.压缩机为进口知名品牌，压缩机和冷凝器整装出厂，与库内蒸发器分体式连接。</w:t>
      </w:r>
    </w:p>
    <w:p w14:paraId="4D4BF033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3.采用风冷箱式压缩机组，整机一体出厂，具备以下功能。压缩机的使用工况，蒸发温度达到≤-5℃；冷凝风扇可根据冷凝温度变化自动控制启停，节能降耗。</w:t>
      </w:r>
    </w:p>
    <w:p w14:paraId="058EA1AC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4.从常温降到2-8℃所需时间：≤30分钟；</w:t>
      </w:r>
    </w:p>
    <w:p w14:paraId="681845F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5.除霜方式: 自动电加热除霜。</w:t>
      </w:r>
    </w:p>
    <w:p w14:paraId="287030AD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6.冷风机：采用吊顶式侧出风后回风的冷风机型蒸发器；随机标配加热丝PVC冷凝水外排装置。</w:t>
      </w:r>
    </w:p>
    <w:p w14:paraId="242F740F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7.其他保护装置：具有系统高低压保护装置。</w:t>
      </w:r>
    </w:p>
    <w:p w14:paraId="55C4E80F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8.机组压缩机、冷风机采用优质品牌，设备之间需协同性好、运行稳定、质量可靠。</w:t>
      </w:r>
    </w:p>
    <w:p w14:paraId="36A66DF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9.主要制冷配件：电磁阀、膨胀阀、干燥过滤器、高低压控制器采用知名品牌。</w:t>
      </w:r>
    </w:p>
    <w:p w14:paraId="62C458C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10.制冷剂采用R22。</w:t>
      </w:r>
    </w:p>
    <w:p w14:paraId="343BE55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11.铜管采用优质紫铜管。</w:t>
      </w:r>
    </w:p>
    <w:p w14:paraId="76565A65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（六）附属设施：排水系统；LED冷库防水灯及开关组件；冷库疫苗灯管；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喷塑可调节6层货架（高≥1700cm，宽600cm,深300cm）。</w:t>
      </w:r>
    </w:p>
    <w:p w14:paraId="5C4627A6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（七）需方负责设备电源引接，接入电源为380V，50Hz。</w:t>
      </w:r>
    </w:p>
    <w:p w14:paraId="1FBEA0C5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三、合同主要条款</w:t>
      </w:r>
    </w:p>
    <w:p w14:paraId="28416FC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（一）交货时间：合同签订后1个月内。</w:t>
      </w:r>
    </w:p>
    <w:p w14:paraId="42A92902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（二）验收：验收由使用科室、设备科工程师、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供应商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共同验收，同时填写《项目验收书》并签名确认，验收书将作为支付凭证之一。</w:t>
      </w:r>
    </w:p>
    <w:p w14:paraId="53617596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三）货款支付方式：分三期支付货款，合同签订生效后的30个工作日，支付合同总金额的30%；安装调试完毕并验收合格后的30个工作日，支付合同总金额的65%；质保期满，确认无其它扣款事项后30个工作日，将支付余下款项（合同总金额的5%）。</w:t>
      </w:r>
    </w:p>
    <w:p w14:paraId="702ADCF6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（四）质保：供方对货物提供至少一年的质保期，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质保期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从验收合格之日起计算。在质保期内，如果设备发现缺陷或制造工艺等问题而发生故障，供应商应无偿并迅速更换。保修期满以后，供应商应按其在江门地区同类产品的优惠价格提供有偿维修服务。响应时间：在免费保修期内，一旦发生产品质量及安装问题，供应商保证在接到通知24小时内赶到现场，进行免费维修或更换有缺陷的设备或部件；修复时间：72小时内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除外：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自然灾害及人为因素除外导致设备故障或损坏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不在质保范围。</w:t>
      </w:r>
    </w:p>
    <w:p w14:paraId="71FD072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045F12F3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附件：冷库设备设施布置示意图。</w:t>
      </w:r>
    </w:p>
    <w:p w14:paraId="7B4D1E5D">
      <w:pP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br w:type="page"/>
      </w:r>
    </w:p>
    <w:p w14:paraId="580903F6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0" w:footer="1417" w:gutter="0"/>
          <w:pgNumType w:fmt="decimal"/>
          <w:cols w:space="0" w:num="1"/>
          <w:rtlGutter w:val="0"/>
          <w:docGrid w:type="lines" w:linePitch="312" w:charSpace="0"/>
        </w:sectPr>
      </w:pPr>
    </w:p>
    <w:p w14:paraId="7D9AD19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 w:rightChars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冷库设备设施布置示意图</w:t>
      </w:r>
    </w:p>
    <w:p w14:paraId="4E7C0466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 w:rightChars="0"/>
        <w:jc w:val="center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drawing>
          <wp:inline distT="0" distB="0" distL="114300" distR="114300">
            <wp:extent cx="8292465" cy="5635625"/>
            <wp:effectExtent l="0" t="0" r="13335" b="3175"/>
            <wp:docPr id="3" name="图片 3" descr="（备份）恩平检验科冷库(1)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（备份）恩平检验科冷库(1)_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92465" cy="563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type w:val="continuous"/>
      <w:pgSz w:w="16838" w:h="11906" w:orient="landscape"/>
      <w:pgMar w:top="567" w:right="567" w:bottom="567" w:left="567" w:header="850" w:footer="1020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����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C60F1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CC4257">
                          <w:pPr>
                            <w:pStyle w:val="2"/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>第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>页共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>5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CC4257">
                    <w:pPr>
                      <w:pStyle w:val="2"/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>第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>页共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instrText xml:space="preserve"> NUMPAGES  \* MERGEFORMAT </w:instrTex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>5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5ZTRhODc1NjFjZmQ2ZmI1NWFmZDU0ZDE4YTg2ZjkifQ=="/>
  </w:docVars>
  <w:rsids>
    <w:rsidRoot w:val="00000000"/>
    <w:rsid w:val="0EC82A4F"/>
    <w:rsid w:val="1C7C6848"/>
    <w:rsid w:val="2ADF2906"/>
    <w:rsid w:val="2BFD373B"/>
    <w:rsid w:val="4C3630B2"/>
    <w:rsid w:val="56195771"/>
    <w:rsid w:val="5C5E674A"/>
    <w:rsid w:val="62FD6392"/>
    <w:rsid w:val="70264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1423</Words>
  <Characters>1502</Characters>
  <Lines>0</Lines>
  <Paragraphs>0</Paragraphs>
  <TotalTime>5</TotalTime>
  <ScaleCrop>false</ScaleCrop>
  <LinksUpToDate>false</LinksUpToDate>
  <CharactersWithSpaces>1503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2024-08-06T03:20:00Z</dcterms:created>
  <dc:creator>HHH</dc:creator>
  <cp:lastModifiedBy>殷智勇</cp:lastModifiedBy>
  <cp:lastPrinted>2024-08-06T08:35:00Z</cp:lastPrinted>
  <dcterms:modified xsi:type="dcterms:W3CDTF">2024-08-08T03:29:29Z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7A651CD2856446A99C84796F7DA1B507_13</vt:lpwstr>
  </property>
</Properties>
</file>