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9352C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Toc114509168"/>
      <w:bookmarkStart w:id="1" w:name="_Toc401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 w14:paraId="6B437698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560" w:lineRule="exact"/>
        <w:jc w:val="center"/>
        <w:rPr>
          <w:rFonts w:hint="default" w:hAnsi="宋体" w:eastAsia="宋体"/>
          <w:sz w:val="44"/>
          <w:szCs w:val="44"/>
          <w:lang w:val="en-US" w:eastAsia="zh-CN"/>
        </w:rPr>
      </w:pPr>
      <w:r>
        <w:rPr>
          <w:rFonts w:hint="eastAsia" w:hAnsi="宋体"/>
          <w:sz w:val="44"/>
          <w:szCs w:val="44"/>
          <w:lang w:val="en-US" w:eastAsia="zh-CN"/>
        </w:rPr>
        <w:t>项目标的物要求</w:t>
      </w:r>
    </w:p>
    <w:p w14:paraId="47CFD44E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560" w:lineRule="exact"/>
        <w:jc w:val="center"/>
        <w:rPr>
          <w:rFonts w:hint="eastAsia" w:hAnsi="宋体"/>
          <w:sz w:val="28"/>
          <w:szCs w:val="28"/>
        </w:rPr>
      </w:pPr>
    </w:p>
    <w:p w14:paraId="06572BE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60" w:lineRule="exact"/>
        <w:ind w:left="0" w:leftChars="0"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</w:t>
      </w:r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技术要求</w:t>
      </w:r>
      <w:bookmarkEnd w:id="1"/>
    </w:p>
    <w:p w14:paraId="733CDB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2" w:name="_Toc25111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（一）项目背景。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根据江门卫生健康委工作安排，需实现网络直报相关设施设备安装工作，实现医院诊疗信息系统（以下简称 HIS 系统）通过广东省食源性疾病病例监测系统（以下简称省级系统）与国家食源性疾病病例监测系统直联直报，进一步提升食源性疾病监测报告准确率和工作效率，切实发挥好对食品安全风险的监测预警作用。</w:t>
      </w:r>
    </w:p>
    <w:p w14:paraId="7D3F20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（二）项目需求。在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HIS系统中集成数据智能采集模块。将数据智能采集模块（采用国家统一版本及更新）嵌入HIS系统，提供医生工作站辅助填报功能，院内审核端一键上报，采用电子政务外网、健康医疗业务网或疾控VPN专网等网络接入方式，与省级系统自动联通上报病例信息。</w:t>
      </w:r>
    </w:p>
    <w:p w14:paraId="611F24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开发周期</w:t>
      </w:r>
    </w:p>
    <w:p w14:paraId="16CE5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20个日历日内。</w:t>
      </w:r>
    </w:p>
    <w:p w14:paraId="5A84D6CF">
      <w:pPr>
        <w:pStyle w:val="3"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560" w:lineRule="exact"/>
        <w:ind w:left="0" w:leftChars="0"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二、商务要求</w:t>
      </w:r>
      <w:bookmarkEnd w:id="2"/>
    </w:p>
    <w:p w14:paraId="2D9E9E67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）投标报价</w:t>
      </w:r>
    </w:p>
    <w:p w14:paraId="3235E979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应为完成本项目所需的全部费用和所有税费的总和。</w:t>
      </w:r>
    </w:p>
    <w:p w14:paraId="647865FC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）资金支付方式</w:t>
      </w:r>
    </w:p>
    <w:p w14:paraId="0B20A7B6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1、甲、乙双方签订合同生效后，甲方在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个工作日内向乙方支付预付款（合同总金额的30%）；</w:t>
      </w:r>
    </w:p>
    <w:p w14:paraId="2135BF18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2、验收合格后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个工作日内支付到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</w:t>
      </w:r>
      <w:r>
        <w:rPr>
          <w:rFonts w:hint="eastAsia" w:ascii="仿宋" w:hAnsi="仿宋" w:eastAsia="仿宋" w:cs="仿宋"/>
          <w:sz w:val="32"/>
          <w:szCs w:val="32"/>
        </w:rPr>
        <w:t>金额的95%。</w:t>
      </w:r>
    </w:p>
    <w:p w14:paraId="11A5B38B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3、甲方保留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</w:t>
      </w:r>
      <w:r>
        <w:rPr>
          <w:rFonts w:hint="eastAsia" w:ascii="仿宋" w:hAnsi="仿宋" w:eastAsia="仿宋" w:cs="仿宋"/>
          <w:sz w:val="32"/>
          <w:szCs w:val="32"/>
        </w:rPr>
        <w:t>金额的5%为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质保</w:t>
      </w:r>
      <w:r>
        <w:rPr>
          <w:rFonts w:hint="eastAsia" w:ascii="仿宋" w:hAnsi="仿宋" w:eastAsia="仿宋" w:cs="仿宋"/>
          <w:sz w:val="32"/>
          <w:szCs w:val="32"/>
        </w:rPr>
        <w:t>金，在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质保</w:t>
      </w:r>
      <w:r>
        <w:rPr>
          <w:rFonts w:hint="eastAsia" w:ascii="仿宋" w:hAnsi="仿宋" w:eastAsia="仿宋" w:cs="仿宋"/>
          <w:sz w:val="32"/>
          <w:szCs w:val="32"/>
        </w:rPr>
        <w:t>期届满且乙方没有违约情况下30个工作日内无息返还。</w:t>
      </w:r>
    </w:p>
    <w:p w14:paraId="2DCED094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4、乙方应每次在甲方付款期限届满前15个工作日内提供合法有效的等额发票。</w:t>
      </w:r>
    </w:p>
    <w:p w14:paraId="71920E05">
      <w:pPr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）中标合同</w:t>
      </w:r>
    </w:p>
    <w:p w14:paraId="277D0E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1.采购人和中标人应当在确定成交后的30天内签订中标合同。</w:t>
      </w:r>
    </w:p>
    <w:p w14:paraId="343016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2.中标合同应当一式肆份，采购人执叁份，中标人执一份，具有同等法律</w:t>
      </w:r>
      <w:bookmarkStart w:id="3" w:name="_GoBack"/>
      <w:bookmarkEnd w:id="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效力。</w:t>
      </w:r>
    </w:p>
    <w:sectPr>
      <w:footerReference r:id="rId3" w:type="default"/>
      <w:type w:val="continuous"/>
      <w:pgSz w:w="11906" w:h="16838"/>
      <w:pgMar w:top="1474" w:right="1984" w:bottom="1587" w:left="2098" w:header="851" w:footer="1417" w:gutter="0"/>
      <w:cols w:space="0" w:num="1"/>
      <w:rtlGutter w:val="0"/>
      <w:docGrid w:type="lines" w:linePitch="41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AC03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90769E">
                          <w:pPr>
                            <w:pStyle w:val="5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90769E">
                    <w:pPr>
                      <w:pStyle w:val="5"/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4A68656D"/>
    <w:rsid w:val="00090F8B"/>
    <w:rsid w:val="00231460"/>
    <w:rsid w:val="00243419"/>
    <w:rsid w:val="00266A79"/>
    <w:rsid w:val="00273DB2"/>
    <w:rsid w:val="002F45C1"/>
    <w:rsid w:val="005E6440"/>
    <w:rsid w:val="006C0BB2"/>
    <w:rsid w:val="007C334A"/>
    <w:rsid w:val="007E4CC0"/>
    <w:rsid w:val="00A54913"/>
    <w:rsid w:val="00D6616E"/>
    <w:rsid w:val="07BF4B60"/>
    <w:rsid w:val="091D0DD3"/>
    <w:rsid w:val="0DF02D6C"/>
    <w:rsid w:val="21910DCE"/>
    <w:rsid w:val="3AA84368"/>
    <w:rsid w:val="3DC40BC3"/>
    <w:rsid w:val="4A68656D"/>
    <w:rsid w:val="5C735EB5"/>
    <w:rsid w:val="5D3C78D4"/>
    <w:rsid w:val="6BB40BC2"/>
    <w:rsid w:val="73FF42AD"/>
    <w:rsid w:val="7F07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autoSpaceDE w:val="0"/>
      <w:autoSpaceDN w:val="0"/>
      <w:adjustRightInd w:val="0"/>
      <w:spacing w:before="340" w:after="330" w:line="578" w:lineRule="auto"/>
      <w:jc w:val="left"/>
      <w:textAlignment w:val="baseline"/>
      <w:outlineLvl w:val="0"/>
    </w:pPr>
    <w:rPr>
      <w:rFonts w:ascii="宋体" w:eastAsia="宋体"/>
      <w:b/>
      <w:kern w:val="44"/>
      <w:sz w:val="44"/>
    </w:rPr>
  </w:style>
  <w:style w:type="paragraph" w:styleId="2">
    <w:name w:val="heading 3"/>
    <w:basedOn w:val="1"/>
    <w:next w:val="1"/>
    <w:unhideWhenUsed/>
    <w:qFormat/>
    <w:uiPriority w:val="0"/>
    <w:pPr>
      <w:kinsoku w:val="0"/>
      <w:autoSpaceDE w:val="0"/>
      <w:autoSpaceDN w:val="0"/>
      <w:adjustRightInd w:val="0"/>
      <w:snapToGrid w:val="0"/>
      <w:spacing w:before="100" w:beforeAutospacing="1" w:after="100" w:afterAutospacing="1"/>
      <w:jc w:val="left"/>
      <w:textAlignment w:val="baseline"/>
      <w:outlineLvl w:val="2"/>
    </w:pPr>
    <w:rPr>
      <w:rFonts w:hint="eastAsia" w:ascii="宋体" w:hAnsi="宋体" w:eastAsia="宋体" w:cs="宋体"/>
      <w:b/>
      <w:snapToGrid w:val="0"/>
      <w:color w:val="000000"/>
      <w:kern w:val="0"/>
      <w:sz w:val="27"/>
      <w:szCs w:val="27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_GB2312"/>
      <w:kern w:val="0"/>
      <w:sz w:val="28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next w:val="1"/>
    <w:autoRedefine/>
    <w:qFormat/>
    <w:uiPriority w:val="0"/>
    <w:pPr>
      <w:autoSpaceDE/>
      <w:autoSpaceDN/>
      <w:adjustRightInd/>
      <w:spacing w:after="120" w:line="240" w:lineRule="auto"/>
      <w:ind w:left="420" w:leftChars="200" w:firstLine="420" w:firstLineChars="200"/>
      <w:textAlignment w:val="auto"/>
    </w:pPr>
    <w:rPr>
      <w:rFonts w:ascii="Times New Roman"/>
      <w:kern w:val="2"/>
      <w:sz w:val="30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6"/>
    <w:autoRedefine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Char"/>
    <w:basedOn w:val="10"/>
    <w:link w:val="5"/>
    <w:autoRedefine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523</Words>
  <Characters>541</Characters>
  <Lines>9</Lines>
  <Paragraphs>2</Paragraphs>
  <TotalTime>1</TotalTime>
  <ScaleCrop>false</ScaleCrop>
  <LinksUpToDate>false</LinksUpToDate>
  <CharactersWithSpaces>543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2023-11-08T08:00:00Z</dcterms:created>
  <dc:creator>hello</dc:creator>
  <cp:lastModifiedBy>殷智勇</cp:lastModifiedBy>
  <cp:lastPrinted>2024-03-06T00:15:00Z</cp:lastPrinted>
  <dcterms:modified xsi:type="dcterms:W3CDTF">2024-08-19T02:41:28Z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575FB2E7128B4E7EA61BDD9325F56BC6_13</vt:lpwstr>
  </property>
</Properties>
</file>